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18" w:rsidRDefault="008D0018">
      <w:bookmarkStart w:id="0" w:name="_GoBack"/>
      <w:bookmarkEnd w:id="0"/>
    </w:p>
    <w:p w:rsidR="00E30F8D" w:rsidRPr="00E30F8D" w:rsidRDefault="00E30F8D" w:rsidP="00E30F8D">
      <w:pPr>
        <w:rPr>
          <w:rFonts w:asciiTheme="minorHAnsi" w:hAnsiTheme="minorHAnsi" w:cs="Arial"/>
          <w:b/>
          <w:bCs/>
          <w:color w:val="000000"/>
          <w:sz w:val="22"/>
          <w:szCs w:val="22"/>
          <w:lang w:eastAsia="en-AU"/>
        </w:rPr>
      </w:pPr>
      <w:r w:rsidRPr="00E30F8D">
        <w:rPr>
          <w:rFonts w:asciiTheme="minorHAnsi" w:hAnsiTheme="minorHAnsi" w:cs="Arial"/>
          <w:b/>
          <w:bCs/>
          <w:color w:val="000000"/>
          <w:sz w:val="22"/>
          <w:szCs w:val="22"/>
          <w:lang w:eastAsia="en-AU"/>
        </w:rPr>
        <w:t>BUDGET PREPARATION</w:t>
      </w:r>
    </w:p>
    <w:p w:rsidR="00E30F8D" w:rsidRPr="00E30F8D" w:rsidRDefault="00E30F8D" w:rsidP="00E30F8D">
      <w:pPr>
        <w:rPr>
          <w:rFonts w:asciiTheme="minorHAnsi" w:hAnsiTheme="minorHAnsi" w:cs="Arial"/>
          <w:b/>
          <w:bCs/>
          <w:color w:val="000000"/>
          <w:sz w:val="22"/>
          <w:szCs w:val="22"/>
          <w:lang w:eastAsia="en-AU"/>
        </w:rPr>
      </w:pPr>
    </w:p>
    <w:p w:rsidR="00E30F8D" w:rsidRPr="00E30F8D" w:rsidRDefault="007912B4" w:rsidP="00E30F8D">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District and Region Managers should</w:t>
      </w:r>
      <w:r w:rsidR="00E30F8D" w:rsidRPr="00E30F8D">
        <w:rPr>
          <w:rFonts w:asciiTheme="minorHAnsi" w:hAnsiTheme="minorHAnsi" w:cs="Arial"/>
          <w:color w:val="000000"/>
          <w:sz w:val="22"/>
          <w:szCs w:val="22"/>
          <w:lang w:eastAsia="en-AU"/>
        </w:rPr>
        <w:t xml:space="preserve"> prepare a budget for their own benefit to allow management of funding for the upcoming year.</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Budgets also allow gives the Region information on </w:t>
      </w:r>
      <w:proofErr w:type="gramStart"/>
      <w:r w:rsidRPr="00E30F8D">
        <w:rPr>
          <w:rFonts w:asciiTheme="minorHAnsi" w:hAnsiTheme="minorHAnsi" w:cs="Arial"/>
          <w:color w:val="000000"/>
          <w:sz w:val="22"/>
          <w:szCs w:val="22"/>
          <w:lang w:eastAsia="en-AU"/>
        </w:rPr>
        <w:t>your</w:t>
      </w:r>
      <w:proofErr w:type="gramEnd"/>
      <w:r w:rsidRPr="00E30F8D">
        <w:rPr>
          <w:rFonts w:asciiTheme="minorHAnsi" w:hAnsiTheme="minorHAnsi" w:cs="Arial"/>
          <w:color w:val="000000"/>
          <w:sz w:val="22"/>
          <w:szCs w:val="22"/>
          <w:lang w:eastAsia="en-AU"/>
        </w:rPr>
        <w:t xml:space="preserve"> forward planning for maintenance etc so Grants and funding can be targeted.</w:t>
      </w:r>
    </w:p>
    <w:p w:rsidR="00E30F8D" w:rsidRPr="00E30F8D" w:rsidRDefault="00E30F8D" w:rsidP="00E30F8D">
      <w:pPr>
        <w:rPr>
          <w:rFonts w:asciiTheme="minorHAnsi" w:hAnsiTheme="minorHAnsi"/>
          <w:sz w:val="22"/>
          <w:szCs w:val="22"/>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You may not need every heading provided on the form - leave blank if not applicable</w:t>
      </w:r>
    </w:p>
    <w:p w:rsidR="00E30F8D" w:rsidRPr="00E30F8D" w:rsidRDefault="00E30F8D" w:rsidP="00E30F8D">
      <w:pPr>
        <w:rPr>
          <w:rFonts w:asciiTheme="minorHAnsi" w:hAnsiTheme="minorHAnsi"/>
          <w:sz w:val="22"/>
          <w:szCs w:val="22"/>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You should not have a deficit budget.  Do your payment side first and then consider how you will fund these expenses</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You may need to apply for grants or carry out more fundraising if it first appears there is a deficit.  The income from these areas must show your intention and goals for fundraising from those specific activities.</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Expenses - the </w:t>
      </w:r>
      <w:proofErr w:type="spellStart"/>
      <w:r w:rsidRPr="00E30F8D">
        <w:rPr>
          <w:rFonts w:asciiTheme="minorHAnsi" w:hAnsiTheme="minorHAnsi" w:cs="Arial"/>
          <w:color w:val="000000"/>
          <w:sz w:val="22"/>
          <w:szCs w:val="22"/>
          <w:lang w:eastAsia="en-AU"/>
        </w:rPr>
        <w:t>utilitilies</w:t>
      </w:r>
      <w:proofErr w:type="spellEnd"/>
      <w:r w:rsidRPr="00E30F8D">
        <w:rPr>
          <w:rFonts w:asciiTheme="minorHAnsi" w:hAnsiTheme="minorHAnsi" w:cs="Arial"/>
          <w:color w:val="000000"/>
          <w:sz w:val="22"/>
          <w:szCs w:val="22"/>
          <w:lang w:eastAsia="en-AU"/>
        </w:rPr>
        <w:t xml:space="preserve"> and maintenance items listed are suggestions of what you may have to consider - add, remove as you require</w:t>
      </w:r>
    </w:p>
    <w:p w:rsidR="00E30F8D" w:rsidRPr="00E30F8D" w:rsidRDefault="00E30F8D" w:rsidP="00E30F8D">
      <w:pPr>
        <w:rPr>
          <w:rFonts w:asciiTheme="minorHAnsi" w:hAnsiTheme="minorHAnsi" w:cs="Arial"/>
          <w:color w:val="000000"/>
          <w:sz w:val="22"/>
          <w:szCs w:val="22"/>
          <w:lang w:eastAsia="en-AU"/>
        </w:rPr>
      </w:pPr>
    </w:p>
    <w:p w:rsidR="00E30F8D" w:rsidRPr="00E30F8D" w:rsidRDefault="007912B4" w:rsidP="00E30F8D">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I</w:t>
      </w:r>
      <w:r w:rsidR="00E30F8D" w:rsidRPr="00E30F8D">
        <w:rPr>
          <w:rFonts w:asciiTheme="minorHAnsi" w:hAnsiTheme="minorHAnsi" w:cs="Arial"/>
          <w:color w:val="000000"/>
          <w:sz w:val="22"/>
          <w:szCs w:val="22"/>
          <w:lang w:eastAsia="en-AU"/>
        </w:rPr>
        <w:t>f you have surplus funds and they are being targeted for a planned, approved, large maintenance or capital expense</w:t>
      </w:r>
      <w:r>
        <w:rPr>
          <w:rFonts w:asciiTheme="minorHAnsi" w:hAnsiTheme="minorHAnsi" w:cs="Arial"/>
          <w:color w:val="000000"/>
          <w:sz w:val="22"/>
          <w:szCs w:val="22"/>
          <w:lang w:eastAsia="en-AU"/>
        </w:rPr>
        <w:t xml:space="preserve"> - transfer the funds to an interest bearing account</w:t>
      </w:r>
      <w:r w:rsidR="00E30F8D" w:rsidRPr="00E30F8D">
        <w:rPr>
          <w:rFonts w:asciiTheme="minorHAnsi" w:hAnsiTheme="minorHAnsi" w:cs="Arial"/>
          <w:color w:val="000000"/>
          <w:sz w:val="22"/>
          <w:szCs w:val="22"/>
          <w:lang w:eastAsia="en-AU"/>
        </w:rPr>
        <w:t xml:space="preserve"> - better interest and easily returned when required.</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Retained funds - when working out your budget and how you will meet your expenses for a year - include the retained funds you have in your account this is the amount of money you had in your reconciled statement at the end of the previous year (assuming all </w:t>
      </w:r>
      <w:proofErr w:type="spellStart"/>
      <w:r w:rsidRPr="00E30F8D">
        <w:rPr>
          <w:rFonts w:asciiTheme="minorHAnsi" w:hAnsiTheme="minorHAnsi" w:cs="Arial"/>
          <w:color w:val="000000"/>
          <w:sz w:val="22"/>
          <w:szCs w:val="22"/>
          <w:lang w:eastAsia="en-AU"/>
        </w:rPr>
        <w:t>cheques</w:t>
      </w:r>
      <w:proofErr w:type="spellEnd"/>
      <w:r w:rsidRPr="00E30F8D">
        <w:rPr>
          <w:rFonts w:asciiTheme="minorHAnsi" w:hAnsiTheme="minorHAnsi" w:cs="Arial"/>
          <w:color w:val="000000"/>
          <w:sz w:val="22"/>
          <w:szCs w:val="22"/>
          <w:lang w:eastAsia="en-AU"/>
        </w:rPr>
        <w:t xml:space="preserve"> presented)</w:t>
      </w:r>
    </w:p>
    <w:p w:rsidR="00E30F8D" w:rsidRPr="00E30F8D" w:rsidRDefault="00E30F8D" w:rsidP="00E30F8D">
      <w:pPr>
        <w:rPr>
          <w:rFonts w:asciiTheme="minorHAnsi" w:hAnsiTheme="minorHAnsi"/>
          <w:sz w:val="22"/>
          <w:szCs w:val="22"/>
        </w:rPr>
      </w:pPr>
    </w:p>
    <w:p w:rsidR="00E30F8D" w:rsidRPr="00E30F8D" w:rsidRDefault="00E30F8D" w:rsidP="00E30F8D">
      <w:pPr>
        <w:rPr>
          <w:rFonts w:asciiTheme="minorHAnsi" w:hAnsiTheme="minorHAnsi"/>
          <w:sz w:val="22"/>
          <w:szCs w:val="22"/>
        </w:rPr>
      </w:pPr>
      <w:r w:rsidRPr="00E30F8D">
        <w:rPr>
          <w:rFonts w:asciiTheme="minorHAnsi" w:hAnsiTheme="minorHAnsi" w:cs="Arial"/>
          <w:color w:val="000000"/>
          <w:sz w:val="22"/>
          <w:szCs w:val="22"/>
          <w:lang w:eastAsia="en-AU"/>
        </w:rPr>
        <w:t xml:space="preserve">Leader expenses </w:t>
      </w:r>
      <w:r w:rsidR="007912B4">
        <w:rPr>
          <w:rFonts w:asciiTheme="minorHAnsi" w:hAnsiTheme="minorHAnsi" w:cs="Arial"/>
          <w:color w:val="000000"/>
          <w:sz w:val="22"/>
          <w:szCs w:val="22"/>
          <w:lang w:eastAsia="en-AU"/>
        </w:rPr>
        <w:t>–</w:t>
      </w:r>
      <w:r w:rsidRPr="00E30F8D">
        <w:rPr>
          <w:rFonts w:asciiTheme="minorHAnsi" w:hAnsiTheme="minorHAnsi" w:cs="Arial"/>
          <w:color w:val="000000"/>
          <w:sz w:val="22"/>
          <w:szCs w:val="22"/>
          <w:lang w:eastAsia="en-AU"/>
        </w:rPr>
        <w:t xml:space="preserve"> </w:t>
      </w:r>
      <w:r w:rsidR="007912B4">
        <w:rPr>
          <w:rFonts w:asciiTheme="minorHAnsi" w:hAnsiTheme="minorHAnsi" w:cs="Arial"/>
          <w:color w:val="000000"/>
          <w:sz w:val="22"/>
          <w:szCs w:val="22"/>
          <w:lang w:eastAsia="en-AU"/>
        </w:rPr>
        <w:t>Membership fees, Qualification t</w:t>
      </w:r>
      <w:r w:rsidRPr="00E30F8D">
        <w:rPr>
          <w:rFonts w:asciiTheme="minorHAnsi" w:hAnsiTheme="minorHAnsi" w:cs="Arial"/>
          <w:color w:val="000000"/>
          <w:sz w:val="22"/>
          <w:szCs w:val="22"/>
          <w:lang w:eastAsia="en-AU"/>
        </w:rPr>
        <w:t>rainings</w:t>
      </w:r>
      <w:r w:rsidR="007912B4">
        <w:rPr>
          <w:rFonts w:asciiTheme="minorHAnsi" w:hAnsiTheme="minorHAnsi" w:cs="Arial"/>
          <w:color w:val="000000"/>
          <w:sz w:val="22"/>
          <w:szCs w:val="22"/>
          <w:lang w:eastAsia="en-AU"/>
        </w:rPr>
        <w:t>, uniforms, First Aid, subsidies for transport etc are often subsidized by the Unit, District or Region.</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Fundraising - income is the total funds raised for fundraising ie total income from sales of biscuits or chocolates</w:t>
      </w:r>
    </w:p>
    <w:p w:rsidR="00E30F8D" w:rsidRPr="00E30F8D" w:rsidRDefault="00E30F8D" w:rsidP="00E30F8D">
      <w:pPr>
        <w:rPr>
          <w:rFonts w:asciiTheme="minorHAnsi" w:hAnsiTheme="minorHAnsi" w:cs="Arial"/>
          <w:color w:val="000000"/>
          <w:sz w:val="22"/>
          <w:szCs w:val="22"/>
          <w:lang w:eastAsia="en-AU"/>
        </w:rPr>
      </w:pPr>
    </w:p>
    <w:p w:rsidR="00E30F8D" w:rsidRPr="00E30F8D" w:rsidRDefault="00E30F8D" w:rsidP="00E30F8D">
      <w:pPr>
        <w:rPr>
          <w:rFonts w:asciiTheme="minorHAnsi" w:hAnsiTheme="minorHAnsi"/>
          <w:sz w:val="22"/>
          <w:szCs w:val="22"/>
        </w:rPr>
      </w:pPr>
      <w:r w:rsidRPr="00E30F8D">
        <w:rPr>
          <w:rFonts w:asciiTheme="minorHAnsi" w:hAnsiTheme="minorHAnsi" w:cs="Arial"/>
          <w:color w:val="000000"/>
          <w:sz w:val="22"/>
          <w:szCs w:val="22"/>
          <w:lang w:eastAsia="en-AU"/>
        </w:rPr>
        <w:t xml:space="preserve">Fundraising - expenditure is the cost involved in raising the funds ie paying for the biscuits or chocolates or food for the </w:t>
      </w:r>
      <w:proofErr w:type="spellStart"/>
      <w:r w:rsidRPr="00E30F8D">
        <w:rPr>
          <w:rFonts w:asciiTheme="minorHAnsi" w:hAnsiTheme="minorHAnsi" w:cs="Arial"/>
          <w:color w:val="000000"/>
          <w:sz w:val="22"/>
          <w:szCs w:val="22"/>
          <w:lang w:eastAsia="en-AU"/>
        </w:rPr>
        <w:t>bunnings</w:t>
      </w:r>
      <w:proofErr w:type="spellEnd"/>
      <w:r w:rsidRPr="00E30F8D">
        <w:rPr>
          <w:rFonts w:asciiTheme="minorHAnsi" w:hAnsiTheme="minorHAnsi" w:cs="Arial"/>
          <w:color w:val="000000"/>
          <w:sz w:val="22"/>
          <w:szCs w:val="22"/>
          <w:lang w:eastAsia="en-AU"/>
        </w:rPr>
        <w:t xml:space="preserve"> </w:t>
      </w:r>
      <w:proofErr w:type="spellStart"/>
      <w:r w:rsidRPr="00E30F8D">
        <w:rPr>
          <w:rFonts w:asciiTheme="minorHAnsi" w:hAnsiTheme="minorHAnsi" w:cs="Arial"/>
          <w:color w:val="000000"/>
          <w:sz w:val="22"/>
          <w:szCs w:val="22"/>
          <w:lang w:eastAsia="en-AU"/>
        </w:rPr>
        <w:t>bbq</w:t>
      </w:r>
      <w:proofErr w:type="spellEnd"/>
    </w:p>
    <w:p w:rsidR="00E30F8D" w:rsidRPr="00E30F8D" w:rsidRDefault="00E30F8D" w:rsidP="00E30F8D">
      <w:pPr>
        <w:spacing w:before="120" w:after="120"/>
        <w:rPr>
          <w:rFonts w:asciiTheme="minorHAnsi" w:hAnsiTheme="minorHAnsi" w:cs="Arial"/>
          <w:sz w:val="22"/>
          <w:szCs w:val="22"/>
        </w:rPr>
        <w:sectPr w:rsidR="00E30F8D" w:rsidRPr="00E30F8D" w:rsidSect="004C6CA9">
          <w:pgSz w:w="11906" w:h="16838"/>
          <w:pgMar w:top="851" w:right="851" w:bottom="851" w:left="851" w:header="720" w:footer="794" w:gutter="0"/>
          <w:cols w:space="720"/>
          <w:docGrid w:linePitch="326"/>
        </w:sectPr>
      </w:pPr>
    </w:p>
    <w:p w:rsidR="00E30F8D" w:rsidRPr="00E30F8D" w:rsidRDefault="00E30F8D" w:rsidP="00E30F8D">
      <w:pPr>
        <w:rPr>
          <w:rFonts w:asciiTheme="minorHAnsi" w:hAnsiTheme="minorHAnsi" w:cs="Arial"/>
          <w:b/>
          <w:bCs/>
          <w:color w:val="000000"/>
          <w:sz w:val="22"/>
          <w:szCs w:val="22"/>
          <w:lang w:eastAsia="en-AU"/>
        </w:rPr>
      </w:pPr>
      <w:r w:rsidRPr="00E30F8D">
        <w:rPr>
          <w:rFonts w:asciiTheme="minorHAnsi" w:hAnsiTheme="minorHAnsi" w:cs="Arial"/>
          <w:b/>
          <w:bCs/>
          <w:color w:val="000000"/>
          <w:sz w:val="22"/>
          <w:szCs w:val="22"/>
          <w:lang w:eastAsia="en-AU"/>
        </w:rPr>
        <w:lastRenderedPageBreak/>
        <w:t>DISTRICT:</w:t>
      </w:r>
    </w:p>
    <w:p w:rsidR="00E30F8D" w:rsidRPr="00E30F8D" w:rsidRDefault="00E30F8D" w:rsidP="00E30F8D">
      <w:pPr>
        <w:rPr>
          <w:rFonts w:asciiTheme="minorHAnsi" w:hAnsiTheme="minorHAnsi" w:cs="Arial"/>
          <w:b/>
          <w:bCs/>
          <w:color w:val="000000"/>
          <w:sz w:val="22"/>
          <w:szCs w:val="22"/>
          <w:lang w:eastAsia="en-AU"/>
        </w:rPr>
      </w:pPr>
    </w:p>
    <w:p w:rsidR="00E30F8D" w:rsidRPr="00E30F8D" w:rsidRDefault="00E30F8D" w:rsidP="00E30F8D">
      <w:pPr>
        <w:rPr>
          <w:rFonts w:asciiTheme="minorHAnsi" w:hAnsiTheme="minorHAnsi"/>
          <w:sz w:val="22"/>
          <w:szCs w:val="22"/>
        </w:rPr>
      </w:pPr>
      <w:r w:rsidRPr="00E30F8D">
        <w:rPr>
          <w:rFonts w:asciiTheme="minorHAnsi" w:hAnsiTheme="minorHAnsi" w:cs="Arial"/>
          <w:b/>
          <w:bCs/>
          <w:color w:val="000000"/>
          <w:sz w:val="22"/>
          <w:szCs w:val="22"/>
          <w:lang w:eastAsia="en-AU"/>
        </w:rPr>
        <w:t>BUDGET FOR YEAR: ………………………………….</w:t>
      </w:r>
    </w:p>
    <w:tbl>
      <w:tblPr>
        <w:tblW w:w="0" w:type="auto"/>
        <w:tblCellSpacing w:w="0" w:type="dxa"/>
        <w:tblInd w:w="-60" w:type="dxa"/>
        <w:tblLayout w:type="fixed"/>
        <w:tblCellMar>
          <w:top w:w="15" w:type="dxa"/>
          <w:left w:w="15" w:type="dxa"/>
          <w:bottom w:w="15" w:type="dxa"/>
          <w:right w:w="15" w:type="dxa"/>
        </w:tblCellMar>
        <w:tblLook w:val="04A0" w:firstRow="1" w:lastRow="0" w:firstColumn="1" w:lastColumn="0" w:noHBand="0" w:noVBand="1"/>
      </w:tblPr>
      <w:tblGrid>
        <w:gridCol w:w="4611"/>
        <w:gridCol w:w="1970"/>
        <w:gridCol w:w="1828"/>
        <w:gridCol w:w="1686"/>
      </w:tblGrid>
      <w:tr w:rsidR="00E30F8D" w:rsidRPr="00E30F8D" w:rsidTr="000D1301">
        <w:trPr>
          <w:trHeight w:val="438"/>
          <w:tblCellSpacing w:w="0" w:type="dxa"/>
        </w:trPr>
        <w:tc>
          <w:tcPr>
            <w:tcW w:w="4611"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135"/>
          <w:tblCellSpacing w:w="0" w:type="dxa"/>
        </w:trPr>
        <w:tc>
          <w:tcPr>
            <w:tcW w:w="4611"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b/>
                <w:bCs/>
                <w:color w:val="000000"/>
                <w:sz w:val="22"/>
                <w:szCs w:val="22"/>
                <w:lang w:eastAsia="en-AU"/>
              </w:rPr>
              <w:t>INCOME</w:t>
            </w:r>
          </w:p>
        </w:tc>
        <w:tc>
          <w:tcPr>
            <w:tcW w:w="1970" w:type="dxa"/>
            <w:tcBorders>
              <w:top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1658E" w:rsidP="00AC05DC">
            <w:pPr>
              <w:jc w:val="center"/>
              <w:rPr>
                <w:rFonts w:asciiTheme="minorHAnsi" w:hAnsiTheme="minorHAnsi" w:cs="Arial"/>
                <w:color w:val="000000"/>
                <w:sz w:val="22"/>
                <w:szCs w:val="22"/>
                <w:lang w:eastAsia="en-AU"/>
              </w:rPr>
            </w:pPr>
            <w:r>
              <w:rPr>
                <w:rFonts w:asciiTheme="minorHAnsi" w:hAnsiTheme="minorHAnsi" w:cs="Arial"/>
                <w:b/>
                <w:bCs/>
                <w:color w:val="000000"/>
                <w:sz w:val="22"/>
                <w:szCs w:val="22"/>
                <w:lang w:eastAsia="en-AU"/>
              </w:rPr>
              <w:t>2016</w:t>
            </w:r>
            <w:r w:rsidR="00E30F8D" w:rsidRPr="00E30F8D">
              <w:rPr>
                <w:rFonts w:asciiTheme="minorHAnsi" w:hAnsiTheme="minorHAnsi" w:cs="Arial"/>
                <w:b/>
                <w:bCs/>
                <w:color w:val="000000"/>
                <w:sz w:val="22"/>
                <w:szCs w:val="22"/>
                <w:lang w:eastAsia="en-AU"/>
              </w:rPr>
              <w:t xml:space="preserve"> budget</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1658E" w:rsidP="00AC05DC">
            <w:pPr>
              <w:jc w:val="center"/>
              <w:rPr>
                <w:rFonts w:asciiTheme="minorHAnsi" w:hAnsiTheme="minorHAnsi" w:cs="Arial"/>
                <w:color w:val="000000"/>
                <w:sz w:val="22"/>
                <w:szCs w:val="22"/>
                <w:lang w:eastAsia="en-AU"/>
              </w:rPr>
            </w:pPr>
            <w:r>
              <w:rPr>
                <w:rFonts w:asciiTheme="minorHAnsi" w:hAnsiTheme="minorHAnsi" w:cs="Arial"/>
                <w:b/>
                <w:bCs/>
                <w:color w:val="000000"/>
                <w:sz w:val="22"/>
                <w:szCs w:val="22"/>
                <w:lang w:eastAsia="en-AU"/>
              </w:rPr>
              <w:t>2016</w:t>
            </w:r>
            <w:r w:rsidR="00E30F8D" w:rsidRPr="00E30F8D">
              <w:rPr>
                <w:rFonts w:asciiTheme="minorHAnsi" w:hAnsiTheme="minorHAnsi" w:cs="Arial"/>
                <w:b/>
                <w:bCs/>
                <w:color w:val="000000"/>
                <w:sz w:val="22"/>
                <w:szCs w:val="22"/>
                <w:lang w:eastAsia="en-AU"/>
              </w:rPr>
              <w:t xml:space="preserve"> actual</w:t>
            </w:r>
          </w:p>
        </w:tc>
      </w:tr>
      <w:tr w:rsidR="00E30F8D" w:rsidRPr="00E30F8D" w:rsidTr="000D1301">
        <w:trPr>
          <w:trHeight w:val="285"/>
          <w:tblCellSpacing w:w="0" w:type="dxa"/>
        </w:trPr>
        <w:tc>
          <w:tcPr>
            <w:tcW w:w="4611"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Family contributions</w:t>
            </w:r>
          </w:p>
        </w:tc>
        <w:tc>
          <w:tcPr>
            <w:tcW w:w="1970"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Fundraising: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Guide Biscuits</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(this is the total</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Bunnings BBQs</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income from various</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Donations</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fundraising activities)</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Other</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Grants</w:t>
            </w: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Volunteer</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7912B4" w:rsidP="00AC05DC">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(see</w:t>
            </w:r>
            <w:r w:rsidR="00E30F8D" w:rsidRPr="00E30F8D">
              <w:rPr>
                <w:rFonts w:asciiTheme="minorHAnsi" w:hAnsiTheme="minorHAnsi" w:cs="Arial"/>
                <w:color w:val="000000"/>
                <w:sz w:val="22"/>
                <w:szCs w:val="22"/>
                <w:lang w:eastAsia="en-AU"/>
              </w:rPr>
              <w:t xml:space="preserve"> </w:t>
            </w:r>
            <w:r>
              <w:rPr>
                <w:rFonts w:asciiTheme="minorHAnsi" w:hAnsiTheme="minorHAnsi" w:cs="Arial"/>
                <w:color w:val="000000"/>
                <w:sz w:val="22"/>
                <w:szCs w:val="22"/>
                <w:lang w:eastAsia="en-AU"/>
              </w:rPr>
              <w:t>Volunteer SA</w:t>
            </w: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Woolworths</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website for grants and</w:t>
            </w: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Building</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or search Grants</w:t>
            </w: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Council</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on Google</w:t>
            </w: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RSL</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Other</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left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Interest from </w:t>
            </w:r>
            <w:r w:rsidR="007912B4">
              <w:rPr>
                <w:rFonts w:asciiTheme="minorHAnsi" w:hAnsiTheme="minorHAnsi" w:cs="Arial"/>
                <w:color w:val="000000"/>
                <w:sz w:val="22"/>
                <w:szCs w:val="22"/>
                <w:lang w:eastAsia="en-AU"/>
              </w:rPr>
              <w:t>investment account</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480"/>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Support Group membership</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Hall hire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Regular - ?</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One off</w:t>
            </w: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Youth Levy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Retained funds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7912B4" w:rsidP="00AC05DC">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Withdrawn from investment account</w:t>
            </w:r>
            <w:r w:rsidR="00E30F8D" w:rsidRPr="00E30F8D">
              <w:rPr>
                <w:rFonts w:asciiTheme="minorHAnsi" w:hAnsiTheme="minorHAnsi" w:cs="Arial"/>
                <w:color w:val="000000"/>
                <w:sz w:val="22"/>
                <w:szCs w:val="22"/>
                <w:lang w:eastAsia="en-AU"/>
              </w:rPr>
              <w:t xml:space="preserve">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480"/>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660"/>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461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b/>
                <w:bCs/>
                <w:color w:val="000000"/>
                <w:sz w:val="22"/>
                <w:szCs w:val="22"/>
                <w:lang w:eastAsia="en-AU"/>
              </w:rPr>
              <w:t xml:space="preserve">TOTAL </w:t>
            </w:r>
          </w:p>
        </w:tc>
        <w:tc>
          <w:tcPr>
            <w:tcW w:w="197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828"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bl>
    <w:p w:rsidR="00E30F8D" w:rsidRPr="00E30F8D" w:rsidRDefault="00E30F8D" w:rsidP="00E30F8D">
      <w:pPr>
        <w:spacing w:before="120" w:after="120"/>
        <w:rPr>
          <w:rFonts w:asciiTheme="minorHAnsi" w:hAnsiTheme="minorHAnsi" w:cs="Arial"/>
          <w:sz w:val="22"/>
          <w:szCs w:val="22"/>
        </w:rPr>
      </w:pPr>
    </w:p>
    <w:p w:rsidR="00E30F8D" w:rsidRPr="00E30F8D" w:rsidRDefault="00E30F8D" w:rsidP="00E30F8D">
      <w:pPr>
        <w:spacing w:before="120" w:after="120"/>
        <w:rPr>
          <w:rFonts w:asciiTheme="minorHAnsi" w:hAnsiTheme="minorHAnsi" w:cs="Arial"/>
          <w:sz w:val="22"/>
          <w:szCs w:val="22"/>
        </w:rPr>
        <w:sectPr w:rsidR="00E30F8D" w:rsidRPr="00E30F8D" w:rsidSect="004C6CA9">
          <w:pgSz w:w="11906" w:h="16838"/>
          <w:pgMar w:top="851" w:right="851" w:bottom="851" w:left="851" w:header="720" w:footer="794" w:gutter="0"/>
          <w:cols w:space="720"/>
          <w:docGrid w:linePitch="326"/>
        </w:sectPr>
      </w:pPr>
    </w:p>
    <w:p w:rsidR="00E30F8D" w:rsidRPr="00E30F8D" w:rsidRDefault="00E30F8D" w:rsidP="00E30F8D">
      <w:pPr>
        <w:spacing w:before="120" w:after="120"/>
        <w:rPr>
          <w:rFonts w:asciiTheme="minorHAnsi" w:hAnsiTheme="minorHAnsi" w:cs="Arial"/>
          <w:sz w:val="22"/>
          <w:szCs w:val="22"/>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650"/>
        <w:gridCol w:w="2208"/>
        <w:gridCol w:w="2693"/>
        <w:gridCol w:w="1701"/>
        <w:gridCol w:w="1701"/>
      </w:tblGrid>
      <w:tr w:rsidR="00E30F8D" w:rsidRPr="00E30F8D" w:rsidTr="000D1301">
        <w:trPr>
          <w:trHeight w:val="285"/>
          <w:tblCellSpacing w:w="0" w:type="dxa"/>
        </w:trPr>
        <w:tc>
          <w:tcPr>
            <w:tcW w:w="1650" w:type="dxa"/>
            <w:tcBorders>
              <w:top w:val="single" w:sz="6" w:space="0" w:color="000000"/>
              <w:left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b/>
                <w:bCs/>
                <w:color w:val="000000"/>
                <w:sz w:val="22"/>
                <w:szCs w:val="22"/>
                <w:lang w:eastAsia="en-AU"/>
              </w:rPr>
              <w:t>EXPENDITURE</w:t>
            </w:r>
          </w:p>
        </w:tc>
        <w:tc>
          <w:tcPr>
            <w:tcW w:w="2208" w:type="dxa"/>
            <w:tcBorders>
              <w:top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7912B4" w:rsidP="00AC05DC">
            <w:pPr>
              <w:jc w:val="center"/>
              <w:rPr>
                <w:rFonts w:asciiTheme="minorHAnsi" w:hAnsiTheme="minorHAnsi" w:cs="Arial"/>
                <w:color w:val="000000"/>
                <w:sz w:val="22"/>
                <w:szCs w:val="22"/>
                <w:lang w:eastAsia="en-AU"/>
              </w:rPr>
            </w:pPr>
            <w:r>
              <w:rPr>
                <w:rFonts w:asciiTheme="minorHAnsi" w:hAnsiTheme="minorHAnsi" w:cs="Arial"/>
                <w:b/>
                <w:bCs/>
                <w:color w:val="000000"/>
                <w:sz w:val="22"/>
                <w:szCs w:val="22"/>
                <w:lang w:eastAsia="en-AU"/>
              </w:rPr>
              <w:t>2016</w:t>
            </w:r>
            <w:r w:rsidR="00E30F8D" w:rsidRPr="00E30F8D">
              <w:rPr>
                <w:rFonts w:asciiTheme="minorHAnsi" w:hAnsiTheme="minorHAnsi" w:cs="Arial"/>
                <w:b/>
                <w:bCs/>
                <w:color w:val="000000"/>
                <w:sz w:val="22"/>
                <w:szCs w:val="22"/>
                <w:lang w:eastAsia="en-AU"/>
              </w:rPr>
              <w:t xml:space="preserve"> budget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7912B4" w:rsidP="00AC05DC">
            <w:pPr>
              <w:jc w:val="center"/>
              <w:rPr>
                <w:rFonts w:asciiTheme="minorHAnsi" w:hAnsiTheme="minorHAnsi" w:cs="Arial"/>
                <w:color w:val="000000"/>
                <w:sz w:val="22"/>
                <w:szCs w:val="22"/>
                <w:lang w:eastAsia="en-AU"/>
              </w:rPr>
            </w:pPr>
            <w:r>
              <w:rPr>
                <w:rFonts w:asciiTheme="minorHAnsi" w:hAnsiTheme="minorHAnsi" w:cs="Arial"/>
                <w:b/>
                <w:bCs/>
                <w:color w:val="000000"/>
                <w:sz w:val="22"/>
                <w:szCs w:val="22"/>
                <w:lang w:eastAsia="en-AU"/>
              </w:rPr>
              <w:t>2016</w:t>
            </w:r>
            <w:r w:rsidR="00E30F8D" w:rsidRPr="00E30F8D">
              <w:rPr>
                <w:rFonts w:asciiTheme="minorHAnsi" w:hAnsiTheme="minorHAnsi" w:cs="Arial"/>
                <w:b/>
                <w:bCs/>
                <w:color w:val="000000"/>
                <w:sz w:val="22"/>
                <w:szCs w:val="22"/>
                <w:lang w:eastAsia="en-AU"/>
              </w:rPr>
              <w:t xml:space="preserve"> actual</w:t>
            </w: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Regular</w:t>
            </w: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Insurance</w:t>
            </w:r>
          </w:p>
        </w:tc>
        <w:tc>
          <w:tcPr>
            <w:tcW w:w="1701"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Electricity</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Rates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Water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Rent/Lease fees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7912B4" w:rsidP="00AC05DC">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GGSA</w:t>
            </w:r>
            <w:r w:rsidR="00E30F8D" w:rsidRPr="00E30F8D">
              <w:rPr>
                <w:rFonts w:asciiTheme="minorHAnsi" w:hAnsiTheme="minorHAnsi" w:cs="Arial"/>
                <w:color w:val="000000"/>
                <w:sz w:val="22"/>
                <w:szCs w:val="22"/>
                <w:lang w:eastAsia="en-AU"/>
              </w:rPr>
              <w:t xml:space="preserve"> Membership</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jc w:val="right"/>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Region District Levy</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jc w:val="right"/>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Region Youth Levy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Leader</w:t>
            </w:r>
          </w:p>
        </w:tc>
        <w:tc>
          <w:tcPr>
            <w:tcW w:w="2208" w:type="dxa"/>
            <w:tcBorders>
              <w:top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Yearly</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Trainings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Uniform</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tcBorders>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Membership</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Maintenance</w:t>
            </w: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Regular</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Mowing / garden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Fire safety check</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480"/>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 xml:space="preserve">Replacement of globes, </w:t>
            </w:r>
            <w:proofErr w:type="spellStart"/>
            <w:r w:rsidRPr="00E30F8D">
              <w:rPr>
                <w:rFonts w:asciiTheme="minorHAnsi" w:hAnsiTheme="minorHAnsi" w:cs="Arial"/>
                <w:color w:val="000000"/>
                <w:sz w:val="22"/>
                <w:szCs w:val="22"/>
                <w:lang w:eastAsia="en-AU"/>
              </w:rPr>
              <w:t>tapwashers</w:t>
            </w:r>
            <w:proofErr w:type="spellEnd"/>
            <w:r w:rsidRPr="00E30F8D">
              <w:rPr>
                <w:rFonts w:asciiTheme="minorHAnsi" w:hAnsiTheme="minorHAnsi" w:cs="Arial"/>
                <w:color w:val="000000"/>
                <w:sz w:val="22"/>
                <w:szCs w:val="22"/>
                <w:lang w:eastAsia="en-AU"/>
              </w:rPr>
              <w:t xml:space="preserve"> etc.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Toilet paper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Cleaning supplies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8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Exit sign upkeep</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Doors and locks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Fence repairs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Cleaning of gutters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480"/>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tcBorders>
              <w:top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Future projected required 1-2 year</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Painting indoor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660"/>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7912B4" w:rsidP="00AC05DC">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(Funds transferred to investment account</w:t>
            </w:r>
            <w:r w:rsidR="00E30F8D" w:rsidRPr="00E30F8D">
              <w:rPr>
                <w:rFonts w:asciiTheme="minorHAnsi" w:hAnsiTheme="minorHAnsi" w:cs="Arial"/>
                <w:color w:val="000000"/>
                <w:sz w:val="22"/>
                <w:szCs w:val="22"/>
                <w:lang w:eastAsia="en-AU"/>
              </w:rPr>
              <w:t xml:space="preserve"> to be allocated to maintenance</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Painting outdoor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Sanding and coating floors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Repairs to roof</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Replacement of stove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Kitchen repairs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Other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Long term savings transferred to IBF</w:t>
            </w:r>
          </w:p>
        </w:tc>
        <w:tc>
          <w:tcPr>
            <w:tcW w:w="2208"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750"/>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Other</w:t>
            </w:r>
          </w:p>
        </w:tc>
        <w:tc>
          <w:tcPr>
            <w:tcW w:w="2208" w:type="dxa"/>
            <w:tcBorders>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color w:val="000000"/>
                <w:sz w:val="22"/>
                <w:szCs w:val="22"/>
                <w:lang w:eastAsia="en-AU"/>
              </w:rPr>
              <w:t>Fundraising - expenses incurred in raising funds - ie paying for the biscuits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208" w:type="dxa"/>
            <w:tcBorders>
              <w:top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r w:rsidR="00E30F8D" w:rsidRPr="00E30F8D" w:rsidTr="000D1301">
        <w:trPr>
          <w:trHeight w:val="255"/>
          <w:tblCellSpacing w:w="0" w:type="dxa"/>
        </w:trPr>
        <w:tc>
          <w:tcPr>
            <w:tcW w:w="1650"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r w:rsidRPr="00E30F8D">
              <w:rPr>
                <w:rFonts w:asciiTheme="minorHAnsi" w:hAnsiTheme="minorHAnsi" w:cs="Arial"/>
                <w:b/>
                <w:bCs/>
                <w:color w:val="000000"/>
                <w:sz w:val="22"/>
                <w:szCs w:val="22"/>
                <w:lang w:eastAsia="en-AU"/>
              </w:rPr>
              <w:t>TOTAL</w:t>
            </w:r>
          </w:p>
        </w:tc>
        <w:tc>
          <w:tcPr>
            <w:tcW w:w="2208" w:type="dxa"/>
            <w:tcBorders>
              <w:top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2693" w:type="dxa"/>
            <w:tcBorders>
              <w:top w:val="single" w:sz="6" w:space="0" w:color="000000"/>
              <w:bottom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E30F8D" w:rsidRPr="00E30F8D" w:rsidRDefault="00E30F8D" w:rsidP="00AC05DC">
            <w:pPr>
              <w:rPr>
                <w:rFonts w:asciiTheme="minorHAnsi" w:hAnsiTheme="minorHAnsi" w:cs="Arial"/>
                <w:color w:val="000000"/>
                <w:sz w:val="22"/>
                <w:szCs w:val="22"/>
                <w:lang w:eastAsia="en-AU"/>
              </w:rPr>
            </w:pPr>
          </w:p>
        </w:tc>
      </w:tr>
    </w:tbl>
    <w:p w:rsidR="00E30F8D" w:rsidRPr="00E30F8D" w:rsidRDefault="00E30F8D" w:rsidP="00E30F8D">
      <w:pPr>
        <w:spacing w:before="120" w:after="120"/>
        <w:rPr>
          <w:rFonts w:asciiTheme="minorHAnsi" w:hAnsiTheme="minorHAnsi" w:cs="Arial"/>
          <w:sz w:val="22"/>
          <w:szCs w:val="22"/>
        </w:rPr>
        <w:sectPr w:rsidR="00E30F8D" w:rsidRPr="00E30F8D" w:rsidSect="004C6CA9">
          <w:pgSz w:w="11906" w:h="16838"/>
          <w:pgMar w:top="851" w:right="851" w:bottom="851" w:left="851" w:header="720" w:footer="794" w:gutter="0"/>
          <w:cols w:space="720"/>
          <w:docGrid w:linePitch="326"/>
        </w:sectPr>
      </w:pPr>
    </w:p>
    <w:p w:rsidR="00E30F8D" w:rsidRPr="00E30F8D" w:rsidRDefault="00E30F8D" w:rsidP="00E30F8D">
      <w:pPr>
        <w:pStyle w:val="Heading1"/>
        <w:spacing w:before="240" w:after="60"/>
        <w:rPr>
          <w:rFonts w:asciiTheme="minorHAnsi" w:hAnsiTheme="minorHAnsi"/>
          <w:sz w:val="22"/>
          <w:szCs w:val="22"/>
        </w:rPr>
      </w:pPr>
      <w:r w:rsidRPr="00E30F8D">
        <w:rPr>
          <w:rFonts w:asciiTheme="minorHAnsi" w:hAnsiTheme="minorHAnsi"/>
          <w:sz w:val="22"/>
          <w:szCs w:val="22"/>
        </w:rPr>
        <w:lastRenderedPageBreak/>
        <w:t xml:space="preserve">Finance Matters </w:t>
      </w:r>
    </w:p>
    <w:p w:rsidR="00E30F8D" w:rsidRPr="00E30F8D" w:rsidRDefault="00E30F8D" w:rsidP="00E30F8D">
      <w:pPr>
        <w:spacing w:line="360" w:lineRule="auto"/>
        <w:rPr>
          <w:rFonts w:asciiTheme="minorHAnsi" w:hAnsiTheme="minorHAnsi" w:cs="Arial"/>
          <w:sz w:val="22"/>
          <w:szCs w:val="22"/>
        </w:rPr>
      </w:pP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b/>
          <w:sz w:val="22"/>
          <w:szCs w:val="22"/>
        </w:rPr>
        <w:t>Banks</w:t>
      </w:r>
      <w:r w:rsidRPr="00E30F8D">
        <w:rPr>
          <w:rFonts w:asciiTheme="minorHAnsi" w:hAnsiTheme="minorHAnsi" w:cs="Arial"/>
          <w:sz w:val="22"/>
          <w:szCs w:val="22"/>
        </w:rPr>
        <w:t xml:space="preserve"> are preferred but credit unions and building societies are acceptable where no b</w:t>
      </w:r>
      <w:r w:rsidR="007912B4">
        <w:rPr>
          <w:rFonts w:asciiTheme="minorHAnsi" w:hAnsiTheme="minorHAnsi" w:cs="Arial"/>
          <w:sz w:val="22"/>
          <w:szCs w:val="22"/>
        </w:rPr>
        <w:t>ank is avail</w:t>
      </w:r>
      <w:r w:rsidR="00D944FA">
        <w:rPr>
          <w:rFonts w:asciiTheme="minorHAnsi" w:hAnsiTheme="minorHAnsi" w:cs="Arial"/>
          <w:sz w:val="22"/>
          <w:szCs w:val="22"/>
        </w:rPr>
        <w:t xml:space="preserve">able. </w:t>
      </w:r>
      <w:r w:rsidR="007912B4">
        <w:rPr>
          <w:rFonts w:asciiTheme="minorHAnsi" w:hAnsiTheme="minorHAnsi" w:cs="Arial"/>
          <w:sz w:val="22"/>
          <w:szCs w:val="22"/>
        </w:rPr>
        <w:t>GGSA’s preferred banker is Bank SA</w:t>
      </w:r>
      <w:r w:rsidRPr="00E30F8D">
        <w:rPr>
          <w:rFonts w:asciiTheme="minorHAnsi" w:hAnsiTheme="minorHAnsi" w:cs="Arial"/>
          <w:sz w:val="22"/>
          <w:szCs w:val="22"/>
        </w:rPr>
        <w:t>.</w:t>
      </w: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b/>
          <w:sz w:val="22"/>
          <w:szCs w:val="22"/>
        </w:rPr>
        <w:t>Bank all money</w:t>
      </w:r>
      <w:r w:rsidR="00D944FA">
        <w:rPr>
          <w:rFonts w:asciiTheme="minorHAnsi" w:hAnsiTheme="minorHAnsi" w:cs="Arial"/>
          <w:sz w:val="22"/>
          <w:szCs w:val="22"/>
        </w:rPr>
        <w:t xml:space="preserve"> intact within </w:t>
      </w:r>
      <w:r w:rsidR="007912B4">
        <w:rPr>
          <w:rFonts w:asciiTheme="minorHAnsi" w:hAnsiTheme="minorHAnsi" w:cs="Arial"/>
          <w:sz w:val="22"/>
          <w:szCs w:val="22"/>
        </w:rPr>
        <w:t>a few</w:t>
      </w:r>
      <w:r w:rsidRPr="00E30F8D">
        <w:rPr>
          <w:rFonts w:asciiTheme="minorHAnsi" w:hAnsiTheme="minorHAnsi" w:cs="Arial"/>
          <w:sz w:val="22"/>
          <w:szCs w:val="22"/>
        </w:rPr>
        <w:t xml:space="preserve"> working days of receiving it.  This is to comply with Association policy.  If you are unable to bank personally, then you may delegate, but you are still responsible.  Issue a receipt for all monies received.</w:t>
      </w:r>
    </w:p>
    <w:p w:rsidR="00E30F8D" w:rsidRPr="00E30F8D" w:rsidRDefault="007912B4"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Pr>
          <w:rFonts w:asciiTheme="minorHAnsi" w:hAnsiTheme="minorHAnsi" w:cs="Arial"/>
          <w:sz w:val="22"/>
          <w:szCs w:val="22"/>
        </w:rPr>
        <w:t>Check and record income and expenditure</w:t>
      </w:r>
      <w:r w:rsidR="00E30F8D" w:rsidRPr="00E30F8D">
        <w:rPr>
          <w:rFonts w:asciiTheme="minorHAnsi" w:hAnsiTheme="minorHAnsi" w:cs="Arial"/>
          <w:sz w:val="22"/>
          <w:szCs w:val="22"/>
        </w:rPr>
        <w:t xml:space="preserve"> at least once per term but preferably monthly.  This is in addition </w:t>
      </w:r>
      <w:r>
        <w:rPr>
          <w:rFonts w:asciiTheme="minorHAnsi" w:hAnsiTheme="minorHAnsi" w:cs="Arial"/>
          <w:sz w:val="22"/>
          <w:szCs w:val="22"/>
        </w:rPr>
        <w:t>to including the financial balance</w:t>
      </w:r>
      <w:r w:rsidR="00E30F8D" w:rsidRPr="00E30F8D">
        <w:rPr>
          <w:rFonts w:asciiTheme="minorHAnsi" w:hAnsiTheme="minorHAnsi" w:cs="Arial"/>
          <w:sz w:val="22"/>
          <w:szCs w:val="22"/>
        </w:rPr>
        <w:t xml:space="preserve"> in your regular report.</w:t>
      </w: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sz w:val="22"/>
          <w:szCs w:val="22"/>
        </w:rPr>
        <w:t xml:space="preserve">Have a minimum of </w:t>
      </w:r>
      <w:r w:rsidRPr="00E30F8D">
        <w:rPr>
          <w:rFonts w:asciiTheme="minorHAnsi" w:hAnsiTheme="minorHAnsi" w:cs="Arial"/>
          <w:b/>
          <w:sz w:val="22"/>
          <w:szCs w:val="22"/>
        </w:rPr>
        <w:t>three signatories</w:t>
      </w:r>
      <w:r w:rsidRPr="00E30F8D">
        <w:rPr>
          <w:rFonts w:asciiTheme="minorHAnsi" w:hAnsiTheme="minorHAnsi" w:cs="Arial"/>
          <w:sz w:val="22"/>
          <w:szCs w:val="22"/>
        </w:rPr>
        <w:t xml:space="preserve"> registered, any two to sign.  Two office bearers of the Support Group or District Management Team plus the District Manager; two of the Region Team plus the Region Manager; two Leaders plus the District Manager; one Leader, Unit Helper and District Manager.</w:t>
      </w: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sz w:val="22"/>
          <w:szCs w:val="22"/>
        </w:rPr>
        <w:t xml:space="preserve">The Region Manager, District Manager or Unit Leader should be </w:t>
      </w:r>
      <w:r w:rsidRPr="00E30F8D">
        <w:rPr>
          <w:rFonts w:asciiTheme="minorHAnsi" w:hAnsiTheme="minorHAnsi" w:cs="Arial"/>
          <w:b/>
          <w:sz w:val="22"/>
          <w:szCs w:val="22"/>
        </w:rPr>
        <w:t>signatories</w:t>
      </w:r>
      <w:r w:rsidRPr="00E30F8D">
        <w:rPr>
          <w:rFonts w:asciiTheme="minorHAnsi" w:hAnsiTheme="minorHAnsi" w:cs="Arial"/>
          <w:sz w:val="22"/>
          <w:szCs w:val="22"/>
        </w:rPr>
        <w:t xml:space="preserve"> on all accounts at their level of management.</w:t>
      </w: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sz w:val="22"/>
          <w:szCs w:val="22"/>
        </w:rPr>
        <w:t xml:space="preserve">Don’t have </w:t>
      </w:r>
      <w:r w:rsidRPr="00E30F8D">
        <w:rPr>
          <w:rFonts w:asciiTheme="minorHAnsi" w:hAnsiTheme="minorHAnsi" w:cs="Arial"/>
          <w:b/>
          <w:sz w:val="22"/>
          <w:szCs w:val="22"/>
        </w:rPr>
        <w:t>family</w:t>
      </w:r>
      <w:r w:rsidRPr="00E30F8D">
        <w:rPr>
          <w:rFonts w:asciiTheme="minorHAnsi" w:hAnsiTheme="minorHAnsi" w:cs="Arial"/>
          <w:sz w:val="22"/>
          <w:szCs w:val="22"/>
        </w:rPr>
        <w:t xml:space="preserve"> members as co-signatories or auditors.  We must not only do the right thing, we must be seen to do the right thing.  Having family members so closely involved leaves the individual open to unnecessary criticism.  Remember always this is public money but we are responsible for it.</w:t>
      </w:r>
    </w:p>
    <w:p w:rsidR="00E30F8D" w:rsidRP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b/>
          <w:sz w:val="22"/>
          <w:szCs w:val="22"/>
        </w:rPr>
        <w:t xml:space="preserve">Blank </w:t>
      </w:r>
      <w:proofErr w:type="spellStart"/>
      <w:r w:rsidRPr="00E30F8D">
        <w:rPr>
          <w:rFonts w:asciiTheme="minorHAnsi" w:hAnsiTheme="minorHAnsi" w:cs="Arial"/>
          <w:b/>
          <w:sz w:val="22"/>
          <w:szCs w:val="22"/>
        </w:rPr>
        <w:t>cheques</w:t>
      </w:r>
      <w:proofErr w:type="spellEnd"/>
      <w:r w:rsidRPr="00E30F8D">
        <w:rPr>
          <w:rFonts w:asciiTheme="minorHAnsi" w:hAnsiTheme="minorHAnsi" w:cs="Arial"/>
          <w:sz w:val="22"/>
          <w:szCs w:val="22"/>
        </w:rPr>
        <w:t xml:space="preserve"> – never, ever sign a </w:t>
      </w:r>
      <w:proofErr w:type="spellStart"/>
      <w:r w:rsidRPr="00E30F8D">
        <w:rPr>
          <w:rFonts w:asciiTheme="minorHAnsi" w:hAnsiTheme="minorHAnsi" w:cs="Arial"/>
          <w:sz w:val="22"/>
          <w:szCs w:val="22"/>
        </w:rPr>
        <w:t>cheque</w:t>
      </w:r>
      <w:proofErr w:type="spellEnd"/>
      <w:r w:rsidRPr="00E30F8D">
        <w:rPr>
          <w:rFonts w:asciiTheme="minorHAnsi" w:hAnsiTheme="minorHAnsi" w:cs="Arial"/>
          <w:sz w:val="22"/>
          <w:szCs w:val="22"/>
        </w:rPr>
        <w:t xml:space="preserve"> that is completely blank.  You’ll be asked to – for convenience sake, and it can be awkward if the signatories all work, or are not in the same area.  If the treasurer asks for </w:t>
      </w:r>
      <w:proofErr w:type="spellStart"/>
      <w:r w:rsidRPr="00E30F8D">
        <w:rPr>
          <w:rFonts w:asciiTheme="minorHAnsi" w:hAnsiTheme="minorHAnsi" w:cs="Arial"/>
          <w:sz w:val="22"/>
          <w:szCs w:val="22"/>
        </w:rPr>
        <w:t>cheques</w:t>
      </w:r>
      <w:proofErr w:type="spellEnd"/>
      <w:r w:rsidRPr="00E30F8D">
        <w:rPr>
          <w:rFonts w:asciiTheme="minorHAnsi" w:hAnsiTheme="minorHAnsi" w:cs="Arial"/>
          <w:sz w:val="22"/>
          <w:szCs w:val="22"/>
        </w:rPr>
        <w:t xml:space="preserve"> to be signed so that they can pay the electricity bill or the insurance bill or the butcher for camp – make sure that those details are on the </w:t>
      </w:r>
      <w:proofErr w:type="spellStart"/>
      <w:r w:rsidRPr="00E30F8D">
        <w:rPr>
          <w:rFonts w:asciiTheme="minorHAnsi" w:hAnsiTheme="minorHAnsi" w:cs="Arial"/>
          <w:sz w:val="22"/>
          <w:szCs w:val="22"/>
        </w:rPr>
        <w:t>cheques</w:t>
      </w:r>
      <w:proofErr w:type="spellEnd"/>
      <w:r w:rsidRPr="00E30F8D">
        <w:rPr>
          <w:rFonts w:asciiTheme="minorHAnsi" w:hAnsiTheme="minorHAnsi" w:cs="Arial"/>
          <w:sz w:val="22"/>
          <w:szCs w:val="22"/>
        </w:rPr>
        <w:t xml:space="preserve">, and butts, before you sign.  If you are a signatory then you should know which </w:t>
      </w:r>
      <w:proofErr w:type="spellStart"/>
      <w:r w:rsidRPr="00E30F8D">
        <w:rPr>
          <w:rFonts w:asciiTheme="minorHAnsi" w:hAnsiTheme="minorHAnsi" w:cs="Arial"/>
          <w:sz w:val="22"/>
          <w:szCs w:val="22"/>
        </w:rPr>
        <w:t>cheques</w:t>
      </w:r>
      <w:proofErr w:type="spellEnd"/>
      <w:r w:rsidRPr="00E30F8D">
        <w:rPr>
          <w:rFonts w:asciiTheme="minorHAnsi" w:hAnsiTheme="minorHAnsi" w:cs="Arial"/>
          <w:sz w:val="22"/>
          <w:szCs w:val="22"/>
        </w:rPr>
        <w:t xml:space="preserve"> may be paid between meetings and then ratified at the next meeting.  Girl Guides Australia policy is “Before signing </w:t>
      </w:r>
      <w:proofErr w:type="spellStart"/>
      <w:r w:rsidRPr="00E30F8D">
        <w:rPr>
          <w:rFonts w:asciiTheme="minorHAnsi" w:hAnsiTheme="minorHAnsi" w:cs="Arial"/>
          <w:sz w:val="22"/>
          <w:szCs w:val="22"/>
        </w:rPr>
        <w:t>cheques</w:t>
      </w:r>
      <w:proofErr w:type="spellEnd"/>
      <w:r w:rsidRPr="00E30F8D">
        <w:rPr>
          <w:rFonts w:asciiTheme="minorHAnsi" w:hAnsiTheme="minorHAnsi" w:cs="Arial"/>
          <w:sz w:val="22"/>
          <w:szCs w:val="22"/>
        </w:rPr>
        <w:t xml:space="preserve">, each signatory is obliged to ensure that such payment has been passed and all </w:t>
      </w:r>
      <w:proofErr w:type="spellStart"/>
      <w:r w:rsidRPr="00E30F8D">
        <w:rPr>
          <w:rFonts w:asciiTheme="minorHAnsi" w:hAnsiTheme="minorHAnsi" w:cs="Arial"/>
          <w:sz w:val="22"/>
          <w:szCs w:val="22"/>
        </w:rPr>
        <w:t>cheque</w:t>
      </w:r>
      <w:proofErr w:type="spellEnd"/>
      <w:r w:rsidRPr="00E30F8D">
        <w:rPr>
          <w:rFonts w:asciiTheme="minorHAnsi" w:hAnsiTheme="minorHAnsi" w:cs="Arial"/>
          <w:sz w:val="22"/>
          <w:szCs w:val="22"/>
        </w:rPr>
        <w:t xml:space="preserve"> details have been fully completed.”</w:t>
      </w:r>
    </w:p>
    <w:p w:rsidR="00E30F8D" w:rsidRDefault="00E30F8D"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sidRPr="00E30F8D">
        <w:rPr>
          <w:rFonts w:asciiTheme="minorHAnsi" w:hAnsiTheme="minorHAnsi" w:cs="Arial"/>
          <w:sz w:val="22"/>
          <w:szCs w:val="22"/>
        </w:rPr>
        <w:t>The Region Manager must keep a</w:t>
      </w:r>
      <w:r w:rsidRPr="00E30F8D">
        <w:rPr>
          <w:rFonts w:asciiTheme="minorHAnsi" w:hAnsiTheme="minorHAnsi" w:cs="Arial"/>
          <w:b/>
          <w:sz w:val="22"/>
          <w:szCs w:val="22"/>
        </w:rPr>
        <w:t xml:space="preserve"> list of accounts </w:t>
      </w:r>
      <w:r w:rsidRPr="00E30F8D">
        <w:rPr>
          <w:rFonts w:asciiTheme="minorHAnsi" w:hAnsiTheme="minorHAnsi" w:cs="Arial"/>
          <w:sz w:val="22"/>
          <w:szCs w:val="22"/>
        </w:rPr>
        <w:t>being operated in the Region which includes all account numbers, bank and branch, signatories, book keeper if applicable, and auditors.  This should be checked each year and whenever personnel change</w:t>
      </w:r>
      <w:r w:rsidR="00D944FA">
        <w:rPr>
          <w:rFonts w:asciiTheme="minorHAnsi" w:hAnsiTheme="minorHAnsi" w:cs="Arial"/>
          <w:sz w:val="22"/>
          <w:szCs w:val="22"/>
        </w:rPr>
        <w:t>.</w:t>
      </w:r>
    </w:p>
    <w:p w:rsidR="00D944FA" w:rsidRDefault="00D944FA" w:rsidP="00E30F8D">
      <w:pPr>
        <w:numPr>
          <w:ilvl w:val="0"/>
          <w:numId w:val="1"/>
        </w:numPr>
        <w:tabs>
          <w:tab w:val="clear" w:pos="567"/>
          <w:tab w:val="num" w:pos="360"/>
        </w:tabs>
        <w:suppressAutoHyphens/>
        <w:spacing w:line="360" w:lineRule="auto"/>
        <w:ind w:left="357" w:hanging="357"/>
        <w:rPr>
          <w:rFonts w:asciiTheme="minorHAnsi" w:hAnsiTheme="minorHAnsi" w:cs="Arial"/>
          <w:sz w:val="22"/>
          <w:szCs w:val="22"/>
        </w:rPr>
      </w:pPr>
      <w:r>
        <w:rPr>
          <w:rFonts w:asciiTheme="minorHAnsi" w:hAnsiTheme="minorHAnsi" w:cs="Arial"/>
          <w:sz w:val="22"/>
          <w:szCs w:val="22"/>
        </w:rPr>
        <w:t xml:space="preserve">Use </w:t>
      </w:r>
      <w:r w:rsidRPr="00D944FA">
        <w:rPr>
          <w:rFonts w:asciiTheme="minorHAnsi" w:hAnsiTheme="minorHAnsi" w:cs="Arial"/>
          <w:b/>
          <w:sz w:val="22"/>
          <w:szCs w:val="22"/>
        </w:rPr>
        <w:t>Money Matters</w:t>
      </w:r>
      <w:r>
        <w:rPr>
          <w:rFonts w:asciiTheme="minorHAnsi" w:hAnsiTheme="minorHAnsi" w:cs="Arial"/>
          <w:sz w:val="22"/>
          <w:szCs w:val="22"/>
        </w:rPr>
        <w:t xml:space="preserve"> spreadsheet as a template. You can print pages if preferred, and at the end of the year ready for auditing or checking.</w:t>
      </w:r>
    </w:p>
    <w:p w:rsidR="00E30F8D" w:rsidRPr="00D944FA" w:rsidRDefault="00D944FA" w:rsidP="00D944FA">
      <w:pPr>
        <w:numPr>
          <w:ilvl w:val="0"/>
          <w:numId w:val="1"/>
        </w:numPr>
        <w:tabs>
          <w:tab w:val="clear" w:pos="567"/>
          <w:tab w:val="num" w:pos="360"/>
        </w:tabs>
        <w:suppressAutoHyphens/>
        <w:spacing w:line="360" w:lineRule="auto"/>
        <w:ind w:left="357" w:hanging="357"/>
        <w:rPr>
          <w:rFonts w:asciiTheme="minorHAnsi" w:hAnsiTheme="minorHAnsi"/>
          <w:sz w:val="22"/>
          <w:szCs w:val="22"/>
        </w:rPr>
      </w:pPr>
      <w:r w:rsidRPr="00D944FA">
        <w:rPr>
          <w:rFonts w:asciiTheme="minorHAnsi" w:hAnsiTheme="minorHAnsi" w:cs="Arial"/>
          <w:sz w:val="22"/>
          <w:szCs w:val="22"/>
        </w:rPr>
        <w:t>Audit requirements</w:t>
      </w:r>
    </w:p>
    <w:sectPr w:rsidR="00E30F8D" w:rsidRPr="00D944FA" w:rsidSect="008D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egreya Sans ExtraBold">
    <w:altName w:val="Arial"/>
    <w:panose1 w:val="00000000000000000000"/>
    <w:charset w:val="00"/>
    <w:family w:val="modern"/>
    <w:notTrueType/>
    <w:pitch w:val="variable"/>
    <w:sig w:usb0="00000001" w:usb1="00000000" w:usb2="00000000" w:usb3="00000000" w:csb0="00000193" w:csb1="00000000"/>
  </w:font>
  <w:font w:name="Alegreya Sans Medium">
    <w:altName w:val="Arial"/>
    <w:panose1 w:val="00000000000000000000"/>
    <w:charset w:val="00"/>
    <w:family w:val="modern"/>
    <w:notTrueType/>
    <w:pitch w:val="variable"/>
    <w:sig w:usb0="00000001" w:usb1="00000000" w:usb2="00000000" w:usb3="00000000" w:csb0="00000193" w:csb1="00000000"/>
  </w:font>
  <w:font w:name="Alegreya Sans Black">
    <w:altName w:val="Arial"/>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701666BC"/>
    <w:name w:val="WW8Num13"/>
    <w:lvl w:ilvl="0">
      <w:start w:val="1"/>
      <w:numFmt w:val="bullet"/>
      <w:lvlText w:val=""/>
      <w:lvlJc w:val="left"/>
      <w:pPr>
        <w:tabs>
          <w:tab w:val="num" w:pos="567"/>
        </w:tabs>
        <w:ind w:left="567" w:hanging="567"/>
      </w:pPr>
      <w:rPr>
        <w:rFonts w:ascii="Wingdings" w:hAnsi="Wingdings"/>
        <w:color w:val="auto"/>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30F8D"/>
    <w:rsid w:val="000456C9"/>
    <w:rsid w:val="000D1301"/>
    <w:rsid w:val="00106FE7"/>
    <w:rsid w:val="004913AD"/>
    <w:rsid w:val="004A641F"/>
    <w:rsid w:val="004D17BA"/>
    <w:rsid w:val="004F6A2F"/>
    <w:rsid w:val="006E1379"/>
    <w:rsid w:val="006F74D4"/>
    <w:rsid w:val="007912B4"/>
    <w:rsid w:val="007E5CD5"/>
    <w:rsid w:val="008D0018"/>
    <w:rsid w:val="00A77CA7"/>
    <w:rsid w:val="00BF36F3"/>
    <w:rsid w:val="00D944FA"/>
    <w:rsid w:val="00E12AE7"/>
    <w:rsid w:val="00E1658E"/>
    <w:rsid w:val="00E30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9D314-AD86-43DC-9498-50CB26EB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74D4"/>
    <w:pPr>
      <w:keepNext/>
      <w:keepLines/>
      <w:spacing w:before="360" w:after="40"/>
      <w:outlineLvl w:val="0"/>
    </w:pPr>
    <w:rPr>
      <w:rFonts w:ascii="Alegreya Sans ExtraBold" w:eastAsiaTheme="majorEastAsia" w:hAnsi="Alegreya Sans ExtraBold"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F74D4"/>
    <w:pPr>
      <w:keepNext/>
      <w:keepLines/>
      <w:spacing w:before="80"/>
      <w:outlineLvl w:val="1"/>
    </w:pPr>
    <w:rPr>
      <w:rFonts w:ascii="Alegreya Sans Medium" w:eastAsiaTheme="majorEastAsia" w:hAnsi="Alegreya Sans Medium"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F74D4"/>
    <w:pPr>
      <w:keepNext/>
      <w:keepLines/>
      <w:spacing w:before="8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6F74D4"/>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F74D4"/>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F74D4"/>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F74D4"/>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F74D4"/>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F74D4"/>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D4"/>
    <w:rPr>
      <w:rFonts w:ascii="Alegreya Sans ExtraBold" w:eastAsiaTheme="majorEastAsia" w:hAnsi="Alegreya Sans ExtraBold" w:cstheme="majorBidi"/>
      <w:color w:val="538135" w:themeColor="accent6" w:themeShade="BF"/>
      <w:sz w:val="40"/>
      <w:szCs w:val="40"/>
    </w:rPr>
  </w:style>
  <w:style w:type="character" w:customStyle="1" w:styleId="Heading2Char">
    <w:name w:val="Heading 2 Char"/>
    <w:basedOn w:val="DefaultParagraphFont"/>
    <w:link w:val="Heading2"/>
    <w:uiPriority w:val="9"/>
    <w:rsid w:val="006F74D4"/>
    <w:rPr>
      <w:rFonts w:ascii="Alegreya Sans Medium" w:eastAsiaTheme="majorEastAsia" w:hAnsi="Alegreya Sans Medium" w:cstheme="majorBidi"/>
      <w:color w:val="538135" w:themeColor="accent6" w:themeShade="BF"/>
      <w:sz w:val="28"/>
      <w:szCs w:val="28"/>
    </w:rPr>
  </w:style>
  <w:style w:type="character" w:customStyle="1" w:styleId="Heading3Char">
    <w:name w:val="Heading 3 Char"/>
    <w:basedOn w:val="DefaultParagraphFont"/>
    <w:link w:val="Heading3"/>
    <w:uiPriority w:val="9"/>
    <w:rsid w:val="006F74D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F74D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F74D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F74D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F74D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F74D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F74D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F74D4"/>
    <w:rPr>
      <w:b/>
      <w:bCs/>
      <w:smallCaps/>
      <w:color w:val="595959" w:themeColor="text1" w:themeTint="A6"/>
    </w:rPr>
  </w:style>
  <w:style w:type="paragraph" w:styleId="Title">
    <w:name w:val="Title"/>
    <w:basedOn w:val="Normal"/>
    <w:next w:val="Normal"/>
    <w:link w:val="TitleChar"/>
    <w:uiPriority w:val="10"/>
    <w:qFormat/>
    <w:rsid w:val="006F74D4"/>
    <w:pPr>
      <w:contextualSpacing/>
    </w:pPr>
    <w:rPr>
      <w:rFonts w:ascii="Alegreya Sans Black" w:eastAsiaTheme="majorEastAsia" w:hAnsi="Alegreya Sans Black" w:cstheme="majorBidi"/>
      <w:color w:val="002060"/>
      <w:spacing w:val="-15"/>
      <w:sz w:val="96"/>
      <w:szCs w:val="96"/>
    </w:rPr>
  </w:style>
  <w:style w:type="character" w:customStyle="1" w:styleId="TitleChar">
    <w:name w:val="Title Char"/>
    <w:basedOn w:val="DefaultParagraphFont"/>
    <w:link w:val="Title"/>
    <w:uiPriority w:val="10"/>
    <w:rsid w:val="006F74D4"/>
    <w:rPr>
      <w:rFonts w:ascii="Alegreya Sans Black" w:eastAsiaTheme="majorEastAsia" w:hAnsi="Alegreya Sans Black" w:cstheme="majorBidi"/>
      <w:color w:val="002060"/>
      <w:spacing w:val="-15"/>
      <w:sz w:val="96"/>
      <w:szCs w:val="96"/>
    </w:rPr>
  </w:style>
  <w:style w:type="paragraph" w:styleId="Subtitle">
    <w:name w:val="Subtitle"/>
    <w:basedOn w:val="Normal"/>
    <w:next w:val="Normal"/>
    <w:link w:val="SubtitleChar"/>
    <w:uiPriority w:val="11"/>
    <w:qFormat/>
    <w:rsid w:val="006F74D4"/>
    <w:pPr>
      <w:numPr>
        <w:ilvl w:val="1"/>
      </w:numPr>
    </w:pPr>
    <w:rPr>
      <w:rFonts w:asciiTheme="majorHAnsi" w:eastAsiaTheme="majorEastAsia" w:hAnsiTheme="majorHAnsi" w:cstheme="majorBidi"/>
      <w:color w:val="808080" w:themeColor="background1" w:themeShade="80"/>
      <w:sz w:val="30"/>
      <w:szCs w:val="30"/>
    </w:rPr>
  </w:style>
  <w:style w:type="character" w:customStyle="1" w:styleId="SubtitleChar">
    <w:name w:val="Subtitle Char"/>
    <w:basedOn w:val="DefaultParagraphFont"/>
    <w:link w:val="Subtitle"/>
    <w:uiPriority w:val="11"/>
    <w:rsid w:val="006F74D4"/>
    <w:rPr>
      <w:rFonts w:asciiTheme="majorHAnsi" w:eastAsiaTheme="majorEastAsia" w:hAnsiTheme="majorHAnsi" w:cstheme="majorBidi"/>
      <w:color w:val="808080" w:themeColor="background1" w:themeShade="80"/>
      <w:sz w:val="30"/>
      <w:szCs w:val="30"/>
    </w:rPr>
  </w:style>
  <w:style w:type="character" w:styleId="Strong">
    <w:name w:val="Strong"/>
    <w:basedOn w:val="DefaultParagraphFont"/>
    <w:uiPriority w:val="22"/>
    <w:qFormat/>
    <w:rsid w:val="006F74D4"/>
    <w:rPr>
      <w:b/>
      <w:bCs/>
    </w:rPr>
  </w:style>
  <w:style w:type="character" w:styleId="Emphasis">
    <w:name w:val="Emphasis"/>
    <w:basedOn w:val="DefaultParagraphFont"/>
    <w:uiPriority w:val="20"/>
    <w:qFormat/>
    <w:rsid w:val="006F74D4"/>
    <w:rPr>
      <w:i/>
      <w:iCs/>
      <w:color w:val="70AD47" w:themeColor="accent6"/>
    </w:rPr>
  </w:style>
  <w:style w:type="paragraph" w:styleId="NoSpacing">
    <w:name w:val="No Spacing"/>
    <w:uiPriority w:val="1"/>
    <w:qFormat/>
    <w:rsid w:val="006F74D4"/>
    <w:pPr>
      <w:spacing w:after="0" w:line="240" w:lineRule="auto"/>
    </w:pPr>
  </w:style>
  <w:style w:type="paragraph" w:styleId="Quote">
    <w:name w:val="Quote"/>
    <w:basedOn w:val="Normal"/>
    <w:next w:val="Normal"/>
    <w:link w:val="QuoteChar"/>
    <w:uiPriority w:val="29"/>
    <w:qFormat/>
    <w:rsid w:val="006F74D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F74D4"/>
    <w:rPr>
      <w:i/>
      <w:iCs/>
      <w:color w:val="262626" w:themeColor="text1" w:themeTint="D9"/>
    </w:rPr>
  </w:style>
  <w:style w:type="paragraph" w:styleId="IntenseQuote">
    <w:name w:val="Intense Quote"/>
    <w:basedOn w:val="Normal"/>
    <w:next w:val="Normal"/>
    <w:link w:val="IntenseQuoteChar"/>
    <w:uiPriority w:val="30"/>
    <w:qFormat/>
    <w:rsid w:val="006F74D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F74D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F74D4"/>
    <w:rPr>
      <w:i/>
      <w:iCs/>
    </w:rPr>
  </w:style>
  <w:style w:type="character" w:styleId="IntenseEmphasis">
    <w:name w:val="Intense Emphasis"/>
    <w:basedOn w:val="DefaultParagraphFont"/>
    <w:uiPriority w:val="21"/>
    <w:qFormat/>
    <w:rsid w:val="006F74D4"/>
    <w:rPr>
      <w:b/>
      <w:bCs/>
      <w:i/>
      <w:iCs/>
    </w:rPr>
  </w:style>
  <w:style w:type="character" w:styleId="SubtleReference">
    <w:name w:val="Subtle Reference"/>
    <w:basedOn w:val="DefaultParagraphFont"/>
    <w:uiPriority w:val="31"/>
    <w:qFormat/>
    <w:rsid w:val="006F74D4"/>
    <w:rPr>
      <w:smallCaps/>
      <w:color w:val="595959" w:themeColor="text1" w:themeTint="A6"/>
    </w:rPr>
  </w:style>
  <w:style w:type="character" w:styleId="IntenseReference">
    <w:name w:val="Intense Reference"/>
    <w:basedOn w:val="DefaultParagraphFont"/>
    <w:uiPriority w:val="32"/>
    <w:qFormat/>
    <w:rsid w:val="006F74D4"/>
    <w:rPr>
      <w:b/>
      <w:bCs/>
      <w:smallCaps/>
      <w:color w:val="70AD47" w:themeColor="accent6"/>
    </w:rPr>
  </w:style>
  <w:style w:type="character" w:styleId="BookTitle">
    <w:name w:val="Book Title"/>
    <w:basedOn w:val="DefaultParagraphFont"/>
    <w:uiPriority w:val="33"/>
    <w:qFormat/>
    <w:rsid w:val="006F74D4"/>
    <w:rPr>
      <w:b/>
      <w:bCs/>
      <w:caps w:val="0"/>
      <w:smallCaps/>
      <w:spacing w:val="7"/>
      <w:sz w:val="21"/>
      <w:szCs w:val="21"/>
    </w:rPr>
  </w:style>
  <w:style w:type="paragraph" w:styleId="TOCHeading">
    <w:name w:val="TOC Heading"/>
    <w:basedOn w:val="Heading1"/>
    <w:next w:val="Normal"/>
    <w:uiPriority w:val="39"/>
    <w:semiHidden/>
    <w:unhideWhenUsed/>
    <w:qFormat/>
    <w:rsid w:val="006F74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rl Guides Australia">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Boroky</cp:lastModifiedBy>
  <cp:revision>4</cp:revision>
  <dcterms:created xsi:type="dcterms:W3CDTF">2016-05-27T13:12:00Z</dcterms:created>
  <dcterms:modified xsi:type="dcterms:W3CDTF">2018-02-04T12:59:00Z</dcterms:modified>
</cp:coreProperties>
</file>